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24" w:tblpY="1"/>
        <w:tblOverlap w:val="neve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8930"/>
        <w:gridCol w:w="1984"/>
      </w:tblGrid>
      <w:tr w:rsidR="00620BE9" w:rsidRPr="00175EE5" w:rsidTr="00820E33">
        <w:trPr>
          <w:trHeight w:val="411"/>
        </w:trPr>
        <w:tc>
          <w:tcPr>
            <w:tcW w:w="534" w:type="dxa"/>
            <w:vAlign w:val="center"/>
          </w:tcPr>
          <w:p w:rsidR="00620BE9" w:rsidRPr="00175EE5" w:rsidRDefault="00620BE9" w:rsidP="00F143F7">
            <w:pPr>
              <w:ind w:left="-180"/>
              <w:jc w:val="center"/>
              <w:rPr>
                <w:b/>
              </w:rPr>
            </w:pPr>
            <w:r w:rsidRPr="00175EE5">
              <w:rPr>
                <w:b/>
              </w:rPr>
              <w:t>Lp.</w:t>
            </w:r>
          </w:p>
        </w:tc>
        <w:tc>
          <w:tcPr>
            <w:tcW w:w="3118" w:type="dxa"/>
            <w:vAlign w:val="center"/>
          </w:tcPr>
          <w:p w:rsidR="00620BE9" w:rsidRPr="00175EE5" w:rsidRDefault="00620BE9" w:rsidP="00F82855">
            <w:pPr>
              <w:jc w:val="center"/>
              <w:rPr>
                <w:b/>
              </w:rPr>
            </w:pPr>
            <w:r w:rsidRPr="00175EE5">
              <w:rPr>
                <w:b/>
              </w:rPr>
              <w:t xml:space="preserve">Tytuł </w:t>
            </w:r>
          </w:p>
        </w:tc>
        <w:tc>
          <w:tcPr>
            <w:tcW w:w="8930" w:type="dxa"/>
            <w:vAlign w:val="center"/>
          </w:tcPr>
          <w:p w:rsidR="00620BE9" w:rsidRPr="00175EE5" w:rsidRDefault="00620BE9" w:rsidP="00F82855">
            <w:pPr>
              <w:jc w:val="center"/>
              <w:rPr>
                <w:b/>
              </w:rPr>
            </w:pPr>
            <w:r>
              <w:rPr>
                <w:b/>
              </w:rPr>
              <w:t>Opis istoty</w:t>
            </w:r>
            <w:r w:rsidRPr="00175EE5">
              <w:rPr>
                <w:b/>
              </w:rPr>
              <w:t xml:space="preserve"> </w:t>
            </w:r>
            <w:r>
              <w:rPr>
                <w:b/>
              </w:rPr>
              <w:t>regulacji</w:t>
            </w:r>
          </w:p>
        </w:tc>
        <w:tc>
          <w:tcPr>
            <w:tcW w:w="1984" w:type="dxa"/>
            <w:vAlign w:val="center"/>
          </w:tcPr>
          <w:p w:rsidR="00620BE9" w:rsidRPr="00175EE5" w:rsidRDefault="00620BE9" w:rsidP="00F143F7">
            <w:pPr>
              <w:jc w:val="center"/>
              <w:rPr>
                <w:b/>
              </w:rPr>
            </w:pPr>
            <w:r>
              <w:rPr>
                <w:b/>
              </w:rPr>
              <w:t>Data ogłoszenia</w:t>
            </w:r>
          </w:p>
        </w:tc>
      </w:tr>
      <w:tr w:rsidR="00620BE9" w:rsidRPr="00175EE5" w:rsidTr="00820E33">
        <w:trPr>
          <w:trHeight w:val="233"/>
        </w:trPr>
        <w:tc>
          <w:tcPr>
            <w:tcW w:w="534" w:type="dxa"/>
            <w:vAlign w:val="center"/>
          </w:tcPr>
          <w:p w:rsidR="00620BE9" w:rsidRPr="00175EE5" w:rsidRDefault="00620BE9" w:rsidP="00F82855">
            <w:pPr>
              <w:spacing w:line="360" w:lineRule="auto"/>
              <w:ind w:left="120"/>
              <w:jc w:val="center"/>
              <w:rPr>
                <w:b/>
                <w:noProof/>
              </w:rPr>
            </w:pPr>
            <w:r w:rsidRPr="00175EE5">
              <w:rPr>
                <w:b/>
                <w:noProof/>
              </w:rPr>
              <w:t>1</w:t>
            </w:r>
          </w:p>
        </w:tc>
        <w:tc>
          <w:tcPr>
            <w:tcW w:w="3118" w:type="dxa"/>
            <w:vAlign w:val="center"/>
          </w:tcPr>
          <w:p w:rsidR="00620BE9" w:rsidRPr="00175EE5" w:rsidRDefault="00620BE9" w:rsidP="00F82855">
            <w:pPr>
              <w:spacing w:line="360" w:lineRule="auto"/>
              <w:jc w:val="center"/>
              <w:rPr>
                <w:b/>
              </w:rPr>
            </w:pPr>
            <w:r w:rsidRPr="00175EE5">
              <w:rPr>
                <w:b/>
              </w:rPr>
              <w:t>2</w:t>
            </w:r>
          </w:p>
        </w:tc>
        <w:tc>
          <w:tcPr>
            <w:tcW w:w="8930" w:type="dxa"/>
            <w:vAlign w:val="center"/>
          </w:tcPr>
          <w:p w:rsidR="00620BE9" w:rsidRPr="00175EE5" w:rsidRDefault="00620BE9" w:rsidP="00F82855">
            <w:pPr>
              <w:spacing w:line="360" w:lineRule="auto"/>
              <w:jc w:val="center"/>
              <w:rPr>
                <w:b/>
              </w:rPr>
            </w:pPr>
            <w:r w:rsidRPr="00175EE5">
              <w:rPr>
                <w:b/>
              </w:rPr>
              <w:t>3</w:t>
            </w:r>
          </w:p>
        </w:tc>
        <w:tc>
          <w:tcPr>
            <w:tcW w:w="1984" w:type="dxa"/>
            <w:vAlign w:val="center"/>
          </w:tcPr>
          <w:p w:rsidR="00620BE9" w:rsidRPr="00175EE5" w:rsidRDefault="00620BE9" w:rsidP="00F82855">
            <w:pPr>
              <w:spacing w:line="360" w:lineRule="auto"/>
              <w:jc w:val="center"/>
              <w:rPr>
                <w:b/>
              </w:rPr>
            </w:pPr>
            <w:r>
              <w:rPr>
                <w:b/>
              </w:rPr>
              <w:t>4</w:t>
            </w:r>
          </w:p>
        </w:tc>
      </w:tr>
      <w:tr w:rsidR="00620BE9" w:rsidRPr="00093C64" w:rsidTr="00820E33">
        <w:trPr>
          <w:trHeight w:val="2779"/>
        </w:trPr>
        <w:tc>
          <w:tcPr>
            <w:tcW w:w="534" w:type="dxa"/>
          </w:tcPr>
          <w:p w:rsidR="00620BE9" w:rsidRPr="00175EE5" w:rsidRDefault="00620BE9" w:rsidP="00F82855">
            <w:pPr>
              <w:spacing w:line="360" w:lineRule="auto"/>
              <w:ind w:left="120"/>
              <w:rPr>
                <w:b/>
                <w:noProof/>
              </w:rPr>
            </w:pPr>
            <w:r>
              <w:rPr>
                <w:b/>
                <w:noProof/>
              </w:rPr>
              <w:t>1.</w:t>
            </w:r>
          </w:p>
        </w:tc>
        <w:tc>
          <w:tcPr>
            <w:tcW w:w="3118" w:type="dxa"/>
          </w:tcPr>
          <w:p w:rsidR="00620BE9" w:rsidRDefault="00620BE9" w:rsidP="00F82855">
            <w:pPr>
              <w:rPr>
                <w:b/>
              </w:rPr>
            </w:pPr>
            <w:r w:rsidRPr="00BD1368">
              <w:rPr>
                <w:b/>
              </w:rPr>
              <w:t xml:space="preserve">Ustawa z dnia </w:t>
            </w:r>
            <w:r w:rsidR="00820E33">
              <w:rPr>
                <w:b/>
              </w:rPr>
              <w:br/>
            </w:r>
            <w:r w:rsidRPr="00BD1368">
              <w:rPr>
                <w:b/>
              </w:rPr>
              <w:t xml:space="preserve">15 listopada 2016 r. </w:t>
            </w:r>
            <w:r w:rsidR="00820E33">
              <w:rPr>
                <w:b/>
              </w:rPr>
              <w:t xml:space="preserve"> </w:t>
            </w:r>
            <w:r w:rsidRPr="00BD1368">
              <w:rPr>
                <w:b/>
              </w:rPr>
              <w:t>o zmianie ustawy o ochronie zwierząt</w:t>
            </w:r>
          </w:p>
          <w:p w:rsidR="00620BE9" w:rsidRPr="00175EE5" w:rsidRDefault="00620BE9" w:rsidP="00F82855">
            <w:pPr>
              <w:rPr>
                <w:b/>
              </w:rPr>
            </w:pPr>
            <w:r w:rsidRPr="009631B5">
              <w:rPr>
                <w:b/>
              </w:rPr>
              <w:t xml:space="preserve">(Dz. U. poz. </w:t>
            </w:r>
            <w:r>
              <w:rPr>
                <w:b/>
              </w:rPr>
              <w:t>2102</w:t>
            </w:r>
            <w:r w:rsidRPr="009631B5">
              <w:rPr>
                <w:b/>
              </w:rPr>
              <w:t>)</w:t>
            </w:r>
          </w:p>
        </w:tc>
        <w:tc>
          <w:tcPr>
            <w:tcW w:w="8930" w:type="dxa"/>
          </w:tcPr>
          <w:p w:rsidR="00620BE9" w:rsidRPr="00093C64" w:rsidRDefault="00620BE9" w:rsidP="00B13F26">
            <w:pPr>
              <w:jc w:val="both"/>
            </w:pPr>
            <w:r>
              <w:t>Zmiany polegają</w:t>
            </w:r>
            <w:r w:rsidRPr="009E3A29">
              <w:t xml:space="preserve"> na uzupełnieniu obowiązujących przepisów umożliwiających gminom podejmowanie uchwał zawierających programy opieki nad zwierzętami bezdomnymi oraz zapobiegania bezdomności, które będą dostosowane do lokalnych potrzeb i możliwości finansowych gmin.</w:t>
            </w:r>
            <w:r>
              <w:t xml:space="preserve"> </w:t>
            </w:r>
            <w:r w:rsidRPr="009E3A29">
              <w:t xml:space="preserve">Otwarcie katalogu działań zawartych w tych programach pozwoli gminom na podejmowanie innych działań niż wymienione w katalogu, jeżeli przyczynią się </w:t>
            </w:r>
            <w:r>
              <w:t xml:space="preserve">one </w:t>
            </w:r>
            <w:r w:rsidRPr="009E3A29">
              <w:t xml:space="preserve">do ograniczenia bezdomności zwierząt.  Możliwość włączenia do uchwalanych programów planów sterylizacji i kastracji psów i kotów pozostających poza schroniskami oraz konsekwentna realizacja takich planów ma sprzyjać ograniczeniu niekontrolowanego wzrostu populacji kotów </w:t>
            </w:r>
            <w:r w:rsidR="00B61BF6">
              <w:br/>
            </w:r>
            <w:r w:rsidRPr="009E3A29">
              <w:t>i psów.</w:t>
            </w:r>
          </w:p>
        </w:tc>
        <w:tc>
          <w:tcPr>
            <w:tcW w:w="1984" w:type="dxa"/>
          </w:tcPr>
          <w:p w:rsidR="00620BE9" w:rsidRPr="00093C64" w:rsidRDefault="00620BE9" w:rsidP="00F82855">
            <w:r>
              <w:t>22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t>2.</w:t>
            </w:r>
          </w:p>
        </w:tc>
        <w:tc>
          <w:tcPr>
            <w:tcW w:w="3118" w:type="dxa"/>
          </w:tcPr>
          <w:p w:rsidR="00620BE9" w:rsidRDefault="00620BE9" w:rsidP="00F82855">
            <w:pPr>
              <w:rPr>
                <w:b/>
              </w:rPr>
            </w:pPr>
            <w:r w:rsidRPr="009273E0">
              <w:rPr>
                <w:b/>
              </w:rPr>
              <w:t xml:space="preserve">Ustawa z dnia </w:t>
            </w:r>
            <w:r w:rsidR="00820E33">
              <w:rPr>
                <w:b/>
              </w:rPr>
              <w:br/>
            </w:r>
            <w:r w:rsidRPr="009273E0">
              <w:rPr>
                <w:b/>
              </w:rPr>
              <w:t>15 grudnia 2016 r.</w:t>
            </w:r>
            <w:r w:rsidR="007E6C3A">
              <w:rPr>
                <w:b/>
              </w:rPr>
              <w:t xml:space="preserve"> </w:t>
            </w:r>
            <w:r w:rsidRPr="009273E0">
              <w:rPr>
                <w:b/>
              </w:rPr>
              <w:t xml:space="preserve">o zmianie ustawy o funduszach promocji produktów rolno-spożywczych </w:t>
            </w:r>
          </w:p>
          <w:p w:rsidR="00620BE9" w:rsidRPr="00F6439C" w:rsidRDefault="00620BE9" w:rsidP="00F82855">
            <w:pPr>
              <w:rPr>
                <w:b/>
              </w:rPr>
            </w:pPr>
            <w:r>
              <w:rPr>
                <w:b/>
              </w:rPr>
              <w:t>(Dz. U. poz. 2170</w:t>
            </w:r>
            <w:r w:rsidRPr="008D6C8A">
              <w:rPr>
                <w:b/>
              </w:rPr>
              <w:t>)</w:t>
            </w:r>
          </w:p>
        </w:tc>
        <w:tc>
          <w:tcPr>
            <w:tcW w:w="8930" w:type="dxa"/>
          </w:tcPr>
          <w:p w:rsidR="00620BE9" w:rsidRPr="00F6439C" w:rsidRDefault="00620BE9" w:rsidP="00B61BF6">
            <w:pPr>
              <w:jc w:val="both"/>
            </w:pPr>
            <w:r>
              <w:t>Zgodnie z przepisami ustawy</w:t>
            </w:r>
            <w:r w:rsidRPr="00CB02CB">
              <w:t xml:space="preserve"> środki funduszy promocji będą przeznaczane na finansowanie lub współfinansowanie programów promocyjnych</w:t>
            </w:r>
            <w:r w:rsidR="008B71C6">
              <w:t xml:space="preserve"> </w:t>
            </w:r>
            <w:r w:rsidRPr="00CB02CB">
              <w:t xml:space="preserve">i informacyjnych oraz działań promocyjnych </w:t>
            </w:r>
            <w:r w:rsidR="00B61BF6">
              <w:br/>
            </w:r>
            <w:r w:rsidRPr="00CB02CB">
              <w:t xml:space="preserve">i informacyjnych kwalifikujących się do wsparcia ze środków Unii Europejskiej, dotyczących produktów rolno-spożywczych wytwarzanych przez ww. podmioty. W </w:t>
            </w:r>
            <w:r>
              <w:t>ustawie</w:t>
            </w:r>
            <w:r w:rsidRPr="00CB02CB">
              <w:t xml:space="preserve"> określ</w:t>
            </w:r>
            <w:r>
              <w:t xml:space="preserve">ono </w:t>
            </w:r>
            <w:r w:rsidRPr="00CB02CB">
              <w:t xml:space="preserve">jednoznaczne wymagania dla produktu rolno-spożywczego, którego dotyczą ww. programy i działania. </w:t>
            </w:r>
            <w:r>
              <w:t>U</w:t>
            </w:r>
            <w:r w:rsidRPr="00CB02CB">
              <w:t xml:space="preserve">stawa zmienia </w:t>
            </w:r>
            <w:r>
              <w:t xml:space="preserve">również </w:t>
            </w:r>
            <w:r w:rsidRPr="00CB02CB">
              <w:t>skład komisji zarządzających funduszami promocji, tak aby umożliwić przedstawicielom środowiska, z którego wpłaty na fundusze promocji pochodzą, większy wpływ na sposób wyda</w:t>
            </w:r>
            <w:r>
              <w:t xml:space="preserve">tkowania środków tych funduszy. Zwiększono </w:t>
            </w:r>
            <w:r w:rsidRPr="00CB02CB">
              <w:t>liczbę przedstawicieli producentów z 4 do 5, natomiast zmniejsz</w:t>
            </w:r>
            <w:r>
              <w:t xml:space="preserve">ono </w:t>
            </w:r>
            <w:r w:rsidRPr="00CB02CB">
              <w:t>liczbę przetwórców z 4 do 3.</w:t>
            </w:r>
          </w:p>
        </w:tc>
        <w:tc>
          <w:tcPr>
            <w:tcW w:w="1984" w:type="dxa"/>
          </w:tcPr>
          <w:p w:rsidR="00620BE9" w:rsidRDefault="00620BE9" w:rsidP="00F82855">
            <w:r>
              <w:t>28</w:t>
            </w:r>
            <w:r w:rsidRPr="008D6C8A">
              <w:t xml:space="preserve">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t>3.</w:t>
            </w:r>
          </w:p>
        </w:tc>
        <w:tc>
          <w:tcPr>
            <w:tcW w:w="3118" w:type="dxa"/>
          </w:tcPr>
          <w:p w:rsidR="00620BE9" w:rsidRDefault="00620BE9" w:rsidP="00F82855">
            <w:pPr>
              <w:rPr>
                <w:b/>
              </w:rPr>
            </w:pPr>
            <w:r w:rsidRPr="009D0052">
              <w:rPr>
                <w:b/>
              </w:rPr>
              <w:t xml:space="preserve">Ustawa z dnia 15 grudnia </w:t>
            </w:r>
            <w:r w:rsidR="007E6C3A">
              <w:rPr>
                <w:b/>
              </w:rPr>
              <w:t xml:space="preserve"> </w:t>
            </w:r>
            <w:r w:rsidR="007E6C3A">
              <w:rPr>
                <w:b/>
              </w:rPr>
              <w:br/>
            </w:r>
            <w:r w:rsidRPr="009D0052">
              <w:rPr>
                <w:b/>
              </w:rPr>
              <w:t xml:space="preserve">2016 r. o zmianie ustawy </w:t>
            </w:r>
            <w:r>
              <w:rPr>
                <w:b/>
              </w:rPr>
              <w:br/>
            </w:r>
            <w:r w:rsidRPr="009D0052">
              <w:rPr>
                <w:b/>
              </w:rPr>
              <w:t>o ubezpieczeniach upraw rolnych i zwierząt gospodarskich</w:t>
            </w:r>
          </w:p>
          <w:p w:rsidR="00620BE9" w:rsidRPr="00F6439C" w:rsidRDefault="00620BE9" w:rsidP="00F82855">
            <w:pPr>
              <w:rPr>
                <w:b/>
              </w:rPr>
            </w:pPr>
            <w:r>
              <w:rPr>
                <w:b/>
              </w:rPr>
              <w:t>(Dz. U. poz. 2181</w:t>
            </w:r>
            <w:r w:rsidRPr="00434C36">
              <w:rPr>
                <w:b/>
              </w:rPr>
              <w:t>)</w:t>
            </w:r>
          </w:p>
        </w:tc>
        <w:tc>
          <w:tcPr>
            <w:tcW w:w="8930" w:type="dxa"/>
          </w:tcPr>
          <w:p w:rsidR="00620BE9" w:rsidRPr="00FE0F4A" w:rsidRDefault="00620BE9" w:rsidP="00B13F26">
            <w:pPr>
              <w:jc w:val="both"/>
            </w:pPr>
            <w:r w:rsidRPr="00FE0F4A">
              <w:t>Ustawa ma na celu usprawnienie systemu ubezpieczeń w rolnictwie poprzez zapewnienie producentom rolnym szerszej dostępności do ubezpieczeń upraw rolnych z dopłatami z budżetu państwa do składek</w:t>
            </w:r>
            <w:r w:rsidR="00B13F26">
              <w:t xml:space="preserve"> </w:t>
            </w:r>
            <w:r w:rsidRPr="00FE0F4A">
              <w:t>z tytułu</w:t>
            </w:r>
            <w:r>
              <w:t xml:space="preserve"> ubezpieczenia upraw rolnych, </w:t>
            </w:r>
            <w:r w:rsidRPr="00FE0F4A">
              <w:t>przez wprowadzenie podwyższonych stawek taryfowych, do których będą stosowane dopłaty</w:t>
            </w:r>
            <w:r w:rsidR="00B13F26">
              <w:t xml:space="preserve"> </w:t>
            </w:r>
            <w:r w:rsidRPr="00FE0F4A">
              <w:t>z budżetu państwa. Zmiana ustawy zapewni i upowszechni sprzedaż umów ubezpieczenia upraw rolnych i zwierząt gospodarskich zawierających pakiety rodzajów ryzyka.</w:t>
            </w:r>
          </w:p>
        </w:tc>
        <w:tc>
          <w:tcPr>
            <w:tcW w:w="1984" w:type="dxa"/>
          </w:tcPr>
          <w:p w:rsidR="00620BE9" w:rsidRDefault="00620BE9" w:rsidP="00F82855">
            <w:r>
              <w:t>28</w:t>
            </w:r>
            <w:r w:rsidRPr="00434C36">
              <w:t xml:space="preserve">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lastRenderedPageBreak/>
              <w:t>4.</w:t>
            </w:r>
          </w:p>
        </w:tc>
        <w:tc>
          <w:tcPr>
            <w:tcW w:w="3118" w:type="dxa"/>
          </w:tcPr>
          <w:p w:rsidR="00620BE9" w:rsidRDefault="00620BE9" w:rsidP="00F82855">
            <w:pPr>
              <w:rPr>
                <w:b/>
              </w:rPr>
            </w:pPr>
            <w:r w:rsidRPr="00F1643E">
              <w:rPr>
                <w:b/>
              </w:rPr>
              <w:t xml:space="preserve">Ustawa z dnia </w:t>
            </w:r>
            <w:r w:rsidR="007E6C3A">
              <w:rPr>
                <w:b/>
              </w:rPr>
              <w:br/>
            </w:r>
            <w:r w:rsidRPr="00F1643E">
              <w:rPr>
                <w:b/>
              </w:rPr>
              <w:t>16 grudnia 2016 r. o zmianie ustawy o nasiennictwie oraz ustawy o ochronie roślin</w:t>
            </w:r>
          </w:p>
          <w:p w:rsidR="00620BE9" w:rsidRPr="00434C36" w:rsidRDefault="00620BE9" w:rsidP="00F82855">
            <w:pPr>
              <w:rPr>
                <w:b/>
              </w:rPr>
            </w:pPr>
            <w:r>
              <w:rPr>
                <w:b/>
              </w:rPr>
              <w:t>(Dz. U. poz. 2246</w:t>
            </w:r>
            <w:r w:rsidRPr="008D6C8A">
              <w:rPr>
                <w:b/>
              </w:rPr>
              <w:t>)</w:t>
            </w:r>
          </w:p>
        </w:tc>
        <w:tc>
          <w:tcPr>
            <w:tcW w:w="8930" w:type="dxa"/>
          </w:tcPr>
          <w:p w:rsidR="00620BE9" w:rsidRPr="00FC7ED0" w:rsidRDefault="00620BE9" w:rsidP="00F82855">
            <w:pPr>
              <w:jc w:val="both"/>
            </w:pPr>
            <w:r w:rsidRPr="00FC7ED0">
              <w:t>Przepisy ustawy wdrażają postanowienia dyrektyw wykonawczych Komisji:</w:t>
            </w:r>
          </w:p>
          <w:p w:rsidR="00620BE9" w:rsidRPr="007124CA" w:rsidRDefault="00620BE9" w:rsidP="00620BE9">
            <w:pPr>
              <w:pStyle w:val="Akapitzlist"/>
              <w:numPr>
                <w:ilvl w:val="0"/>
                <w:numId w:val="1"/>
              </w:numPr>
              <w:jc w:val="both"/>
              <w:rPr>
                <w:rFonts w:ascii="Times New Roman" w:hAnsi="Times New Roman"/>
              </w:rPr>
            </w:pPr>
            <w:r w:rsidRPr="007124CA">
              <w:rPr>
                <w:rFonts w:ascii="Times New Roman" w:hAnsi="Times New Roman"/>
              </w:rPr>
              <w:t xml:space="preserve">2014/96/UE w sprawie wymagań dotyczących etykietowania, plombowania i pakowania materiału </w:t>
            </w:r>
            <w:proofErr w:type="spellStart"/>
            <w:r w:rsidRPr="007124CA">
              <w:rPr>
                <w:rFonts w:ascii="Times New Roman" w:hAnsi="Times New Roman"/>
              </w:rPr>
              <w:t>rozmnożeniowego</w:t>
            </w:r>
            <w:proofErr w:type="spellEnd"/>
            <w:r w:rsidRPr="007124CA">
              <w:rPr>
                <w:rFonts w:ascii="Times New Roman" w:hAnsi="Times New Roman"/>
              </w:rPr>
              <w:t xml:space="preserve"> roślin sadowniczych oraz roślin sadowniczych przeznaczonych do produkcji owoców; </w:t>
            </w:r>
          </w:p>
          <w:p w:rsidR="00620BE9" w:rsidRPr="00A7124C" w:rsidRDefault="00620BE9" w:rsidP="00620BE9">
            <w:pPr>
              <w:pStyle w:val="Akapitzlist"/>
              <w:numPr>
                <w:ilvl w:val="0"/>
                <w:numId w:val="1"/>
              </w:numPr>
              <w:jc w:val="both"/>
              <w:rPr>
                <w:rFonts w:ascii="Times New Roman" w:hAnsi="Times New Roman"/>
              </w:rPr>
            </w:pPr>
            <w:r w:rsidRPr="007124CA">
              <w:rPr>
                <w:rFonts w:ascii="Times New Roman" w:hAnsi="Times New Roman"/>
              </w:rPr>
              <w:t xml:space="preserve">2014/97/UE w odniesieniu do rejestracji dostawców i odmian oraz </w:t>
            </w:r>
            <w:r w:rsidRPr="00A7124C">
              <w:rPr>
                <w:rFonts w:ascii="Times New Roman" w:hAnsi="Times New Roman"/>
              </w:rPr>
              <w:t xml:space="preserve">w odniesieniu do wspólnego wykazu odmian; </w:t>
            </w:r>
          </w:p>
          <w:p w:rsidR="00620BE9" w:rsidRDefault="00620BE9" w:rsidP="00620BE9">
            <w:pPr>
              <w:pStyle w:val="Akapitzlist"/>
              <w:numPr>
                <w:ilvl w:val="0"/>
                <w:numId w:val="1"/>
              </w:numPr>
              <w:jc w:val="both"/>
              <w:rPr>
                <w:rFonts w:ascii="Times New Roman" w:hAnsi="Times New Roman"/>
              </w:rPr>
            </w:pPr>
            <w:r w:rsidRPr="007124CA">
              <w:rPr>
                <w:rFonts w:ascii="Times New Roman" w:hAnsi="Times New Roman"/>
              </w:rPr>
              <w:t xml:space="preserve">2014/98/UE w odniesieniu do szczegółowych wymogów dotyczących rodzajów </w:t>
            </w:r>
            <w:r w:rsidR="00B61BF6">
              <w:rPr>
                <w:rFonts w:ascii="Times New Roman" w:hAnsi="Times New Roman"/>
              </w:rPr>
              <w:br/>
            </w:r>
            <w:r w:rsidRPr="007124CA">
              <w:rPr>
                <w:rFonts w:ascii="Times New Roman" w:hAnsi="Times New Roman"/>
              </w:rPr>
              <w:t xml:space="preserve">i gatunków roślin sadowniczych. </w:t>
            </w:r>
          </w:p>
          <w:p w:rsidR="00620BE9" w:rsidRPr="00A9034F" w:rsidRDefault="00620BE9" w:rsidP="00B13F26">
            <w:pPr>
              <w:jc w:val="both"/>
            </w:pPr>
            <w:r w:rsidRPr="00A9034F">
              <w:t>Przepisy ustawy umożliwiają wpisywanie do krajowego rejestru (KR) odmian gatunków, które nie są objęte przepisami UE, a są tradycyjnie uprawiane w Polsce oraz łatwiejsze wpisywanie do KR odmian</w:t>
            </w:r>
            <w:r>
              <w:t xml:space="preserve"> regionalnych i amatorskich, a także</w:t>
            </w:r>
            <w:r w:rsidRPr="00A9034F">
              <w:t xml:space="preserve"> zmniejszenie obciążeń administracyjnych.</w:t>
            </w:r>
          </w:p>
        </w:tc>
        <w:tc>
          <w:tcPr>
            <w:tcW w:w="1984" w:type="dxa"/>
          </w:tcPr>
          <w:p w:rsidR="00620BE9" w:rsidRDefault="00620BE9" w:rsidP="00F82855">
            <w:r>
              <w:t>30</w:t>
            </w:r>
            <w:r w:rsidRPr="008D6C8A">
              <w:t xml:space="preserve">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t>5.</w:t>
            </w:r>
          </w:p>
        </w:tc>
        <w:tc>
          <w:tcPr>
            <w:tcW w:w="3118" w:type="dxa"/>
          </w:tcPr>
          <w:p w:rsidR="00620BE9" w:rsidRDefault="00620BE9" w:rsidP="00F82855">
            <w:pPr>
              <w:rPr>
                <w:b/>
              </w:rPr>
            </w:pPr>
            <w:r w:rsidRPr="00793D67">
              <w:rPr>
                <w:b/>
              </w:rPr>
              <w:t>Ustawa z dnia</w:t>
            </w:r>
            <w:r w:rsidR="007E6C3A">
              <w:rPr>
                <w:b/>
              </w:rPr>
              <w:br/>
            </w:r>
            <w:r w:rsidRPr="00793D67">
              <w:rPr>
                <w:b/>
              </w:rPr>
              <w:t xml:space="preserve"> 16 grudnia 2016 r. o zmianie niektórych ustaw w celu poprawy otoczenia prawnego przedsiębiorców</w:t>
            </w:r>
          </w:p>
          <w:p w:rsidR="00620BE9" w:rsidRPr="00F1643E" w:rsidRDefault="00620BE9" w:rsidP="00F82855">
            <w:pPr>
              <w:rPr>
                <w:b/>
              </w:rPr>
            </w:pPr>
            <w:r w:rsidRPr="00793D67">
              <w:rPr>
                <w:b/>
              </w:rPr>
              <w:t>(Dz. U. poz. 22</w:t>
            </w:r>
            <w:r>
              <w:rPr>
                <w:b/>
              </w:rPr>
              <w:t>55</w:t>
            </w:r>
            <w:r w:rsidRPr="00793D67">
              <w:rPr>
                <w:b/>
              </w:rPr>
              <w:t>)</w:t>
            </w:r>
          </w:p>
        </w:tc>
        <w:tc>
          <w:tcPr>
            <w:tcW w:w="8930" w:type="dxa"/>
          </w:tcPr>
          <w:p w:rsidR="007E6C3A" w:rsidRPr="00FC7ED0" w:rsidRDefault="00620BE9" w:rsidP="007E6C3A">
            <w:pPr>
              <w:jc w:val="both"/>
            </w:pPr>
            <w:r w:rsidRPr="00793D67">
              <w:t>Ustawa ta jest elementem pakietu ułatwień dla prz</w:t>
            </w:r>
            <w:r>
              <w:t xml:space="preserve">edsiębiorców – tzw. „100 zmian </w:t>
            </w:r>
            <w:r w:rsidRPr="00793D67">
              <w:t xml:space="preserve">dla firm”. Ma na celu poprawę warunków prawnych wykonywania działalności gospodarczej w Polsce poprzez zmianę 18 innych ustaw tj. ustawy: Kodeks cywilny, Kodeks postępowania cywilnego, Kodeks pracy, Kodeks spółek handlowych, Prawo budowlane, Prawo ochrony środowiska, Ordynacja podatkowa, o zakładowym </w:t>
            </w:r>
            <w:r w:rsidR="00F143F7">
              <w:t xml:space="preserve">funduszu świadczeń socjalnych, </w:t>
            </w:r>
            <w:r w:rsidRPr="00793D67">
              <w:t>o rachunkowości, o ochronie osób i mienia, o sys</w:t>
            </w:r>
            <w:r>
              <w:t xml:space="preserve">temie ubezpieczeń społecznych, </w:t>
            </w:r>
            <w:r w:rsidRPr="00793D67">
              <w:t>o zryczałtowanym podatku dochodowym  od niektórych przychodów osiąganych przez osoby fizyczne, o Krajowym Rejestrze Karnym, o dozorze technicznym, o ubezpieczeniu społecznym z tytułu wypadków przy pracy i chorób zawodowych, o swobodzie działalności gospodarczej, o systemie zarządzania emisjami gazów cieplarnianych</w:t>
            </w:r>
            <w:r w:rsidR="00B13F26">
              <w:t xml:space="preserve"> </w:t>
            </w:r>
            <w:r w:rsidRPr="00793D67">
              <w:t xml:space="preserve">i innych substancji i o gospodarce opakowaniami i odpadami opakowaniowymi. Pierwsze uproszczenia z pakietu  </w:t>
            </w:r>
            <w:r>
              <w:t>weszły</w:t>
            </w:r>
            <w:r w:rsidRPr="00793D67">
              <w:t xml:space="preserve"> w życie</w:t>
            </w:r>
            <w:r w:rsidR="00F143F7">
              <w:t xml:space="preserve"> </w:t>
            </w:r>
            <w:r>
              <w:t>z dniem</w:t>
            </w:r>
            <w:r w:rsidRPr="00793D67">
              <w:t xml:space="preserve"> 1 stycznia 2017 r. Pakiet „100 zmian dla firm” jest jednym</w:t>
            </w:r>
            <w:r w:rsidR="00F143F7">
              <w:t xml:space="preserve"> </w:t>
            </w:r>
            <w:r w:rsidRPr="00793D67">
              <w:t>z projektów strategicznych przewidzianych do realizacji w ramach projektowanej Strategii na Rzecz Odpowiedzialnego Rozwoju.</w:t>
            </w:r>
          </w:p>
        </w:tc>
        <w:tc>
          <w:tcPr>
            <w:tcW w:w="1984" w:type="dxa"/>
          </w:tcPr>
          <w:p w:rsidR="00620BE9" w:rsidRDefault="00620BE9" w:rsidP="00F82855">
            <w:r w:rsidRPr="00793D67">
              <w:t>30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t>6.</w:t>
            </w:r>
          </w:p>
        </w:tc>
        <w:tc>
          <w:tcPr>
            <w:tcW w:w="3118" w:type="dxa"/>
          </w:tcPr>
          <w:p w:rsidR="00620BE9" w:rsidRPr="00DB52F0" w:rsidRDefault="00620BE9" w:rsidP="00F82855">
            <w:pPr>
              <w:rPr>
                <w:b/>
                <w:vertAlign w:val="superscript"/>
              </w:rPr>
            </w:pPr>
            <w:r w:rsidRPr="00A119C8">
              <w:rPr>
                <w:b/>
              </w:rPr>
              <w:t>Ustawa z dnia</w:t>
            </w:r>
            <w:r w:rsidR="00D443C3">
              <w:rPr>
                <w:b/>
              </w:rPr>
              <w:t xml:space="preserve"> </w:t>
            </w:r>
            <w:r w:rsidR="00D443C3">
              <w:rPr>
                <w:b/>
              </w:rPr>
              <w:br/>
            </w:r>
            <w:r w:rsidRPr="00A119C8">
              <w:rPr>
                <w:b/>
              </w:rPr>
              <w:t xml:space="preserve">16 grudnia 2016 r. </w:t>
            </w:r>
            <w:r>
              <w:rPr>
                <w:b/>
              </w:rPr>
              <w:br/>
            </w:r>
            <w:r w:rsidRPr="00A119C8">
              <w:rPr>
                <w:b/>
              </w:rPr>
              <w:t>o</w:t>
            </w:r>
            <w:r>
              <w:rPr>
                <w:b/>
              </w:rPr>
              <w:t xml:space="preserve"> </w:t>
            </w:r>
            <w:r w:rsidRPr="00A119C8">
              <w:rPr>
                <w:b/>
              </w:rPr>
              <w:t>zasadach zarządzania</w:t>
            </w:r>
            <w:r w:rsidR="008B71C6">
              <w:rPr>
                <w:b/>
              </w:rPr>
              <w:t xml:space="preserve"> </w:t>
            </w:r>
            <w:r w:rsidRPr="00A119C8">
              <w:rPr>
                <w:b/>
              </w:rPr>
              <w:lastRenderedPageBreak/>
              <w:t>mieniem państwowym</w:t>
            </w:r>
            <w:r w:rsidRPr="008E0E70">
              <w:rPr>
                <w:rStyle w:val="Odwoanieprzypisudolnego"/>
              </w:rPr>
              <w:footnoteReference w:id="1"/>
            </w:r>
            <w:r w:rsidRPr="008E0E70">
              <w:rPr>
                <w:vertAlign w:val="superscript"/>
              </w:rPr>
              <w:t>)</w:t>
            </w:r>
          </w:p>
          <w:p w:rsidR="00620BE9" w:rsidRPr="00F1643E" w:rsidRDefault="00620BE9" w:rsidP="00F82855">
            <w:pPr>
              <w:rPr>
                <w:b/>
              </w:rPr>
            </w:pPr>
            <w:r w:rsidRPr="00A119C8">
              <w:rPr>
                <w:b/>
              </w:rPr>
              <w:t>(Dz.</w:t>
            </w:r>
            <w:r>
              <w:rPr>
                <w:b/>
              </w:rPr>
              <w:t xml:space="preserve"> </w:t>
            </w:r>
            <w:r w:rsidRPr="00A119C8">
              <w:rPr>
                <w:b/>
              </w:rPr>
              <w:t>U. poz. 2259)</w:t>
            </w:r>
          </w:p>
        </w:tc>
        <w:tc>
          <w:tcPr>
            <w:tcW w:w="8930" w:type="dxa"/>
          </w:tcPr>
          <w:p w:rsidR="00620BE9" w:rsidRPr="00FC7ED0" w:rsidRDefault="00620BE9" w:rsidP="00D443C3">
            <w:pPr>
              <w:jc w:val="both"/>
            </w:pPr>
            <w:r>
              <w:lastRenderedPageBreak/>
              <w:t>Zgodnie z przepisami ustawy</w:t>
            </w:r>
            <w:r w:rsidRPr="00F256D9">
              <w:t xml:space="preserve"> zarówno ANR jak i jednoosobowe spółki hodowli roślin uprawnych lub hodowli zwierząt gospodarskich</w:t>
            </w:r>
            <w:r w:rsidR="008B71C6">
              <w:t xml:space="preserve"> </w:t>
            </w:r>
            <w:r w:rsidRPr="00F256D9">
              <w:t xml:space="preserve">o szczególnym znaczeniu dla gospodarki narodowej, </w:t>
            </w:r>
            <w:r w:rsidR="00FA2346">
              <w:br/>
            </w:r>
            <w:r w:rsidRPr="00F256D9">
              <w:t>w których prawa</w:t>
            </w:r>
            <w:r w:rsidR="008B71C6">
              <w:t xml:space="preserve"> </w:t>
            </w:r>
            <w:r w:rsidRPr="00F256D9">
              <w:t xml:space="preserve">z udziałów albo akcji wykonuje ANR, są państwowymi osobami prawnymi. </w:t>
            </w:r>
            <w:r w:rsidR="00FA2346">
              <w:br/>
            </w:r>
            <w:r w:rsidRPr="00F256D9">
              <w:lastRenderedPageBreak/>
              <w:t>W związku z tym gospodarowanie posiadanym przez te podmioty mieniem odbywa się równie</w:t>
            </w:r>
            <w:r>
              <w:t>ż na zasadach określonych ustawą</w:t>
            </w:r>
            <w:r w:rsidRPr="00F256D9">
              <w:t xml:space="preserve"> z dnia 16 grudnia 2016 r. o zasadach zarządzania mieniem państwowym</w:t>
            </w:r>
            <w:r>
              <w:t>. S</w:t>
            </w:r>
            <w:r w:rsidRPr="00F256D9">
              <w:t xml:space="preserve">zczegółowe zasady gospodarowania Zasobem Własności Rolnej Skarbu Państwa reguluje  ustawa z dnia 19 października 1991 r. o gospodarowaniu nieruchomościami rolnymi Skarbu Państwa </w:t>
            </w:r>
            <w:r>
              <w:t>więc</w:t>
            </w:r>
            <w:r w:rsidRPr="00F256D9">
              <w:t xml:space="preserve"> przepisy tej ustawy będą miały pierwszeństwo w przypadku kolizji norm. </w:t>
            </w:r>
            <w:r w:rsidRPr="00A119C8">
              <w:t>Ustawa określa ogólne zasady gospodarowania mieniem państwowym.</w:t>
            </w:r>
            <w:r>
              <w:t xml:space="preserve"> </w:t>
            </w:r>
            <w:r w:rsidRPr="00A119C8">
              <w:t xml:space="preserve">Zasady te dotyczą w szczególności państwowych osób prawnych, </w:t>
            </w:r>
            <w:r>
              <w:t>w tym</w:t>
            </w:r>
            <w:r w:rsidRPr="00A119C8">
              <w:t xml:space="preserve"> CDR i ODR.</w:t>
            </w:r>
          </w:p>
        </w:tc>
        <w:tc>
          <w:tcPr>
            <w:tcW w:w="1984" w:type="dxa"/>
          </w:tcPr>
          <w:p w:rsidR="00620BE9" w:rsidRDefault="00620BE9" w:rsidP="00F82855">
            <w:r w:rsidRPr="00A119C8">
              <w:lastRenderedPageBreak/>
              <w:t>30 grudnia 2016 r.</w:t>
            </w:r>
          </w:p>
        </w:tc>
      </w:tr>
      <w:tr w:rsidR="00620BE9" w:rsidTr="00FA2346">
        <w:trPr>
          <w:trHeight w:val="2679"/>
        </w:trPr>
        <w:tc>
          <w:tcPr>
            <w:tcW w:w="534" w:type="dxa"/>
          </w:tcPr>
          <w:p w:rsidR="00620BE9" w:rsidRDefault="00620BE9" w:rsidP="00F82855">
            <w:pPr>
              <w:spacing w:line="360" w:lineRule="auto"/>
              <w:ind w:left="120"/>
              <w:rPr>
                <w:b/>
                <w:noProof/>
              </w:rPr>
            </w:pPr>
            <w:r>
              <w:rPr>
                <w:b/>
                <w:noProof/>
              </w:rPr>
              <w:lastRenderedPageBreak/>
              <w:t>7.</w:t>
            </w:r>
          </w:p>
        </w:tc>
        <w:tc>
          <w:tcPr>
            <w:tcW w:w="3118" w:type="dxa"/>
          </w:tcPr>
          <w:p w:rsidR="00620BE9" w:rsidRPr="008E0E70" w:rsidRDefault="00620BE9" w:rsidP="00F82855">
            <w:pPr>
              <w:rPr>
                <w:b/>
                <w:vertAlign w:val="superscript"/>
              </w:rPr>
            </w:pPr>
            <w:r>
              <w:rPr>
                <w:b/>
              </w:rPr>
              <w:t xml:space="preserve">Ustawa z dnia </w:t>
            </w:r>
            <w:r w:rsidR="007E6C3A">
              <w:rPr>
                <w:b/>
              </w:rPr>
              <w:br/>
            </w:r>
            <w:r>
              <w:rPr>
                <w:b/>
              </w:rPr>
              <w:t>16 grudnia 2016 r.  Przepisy wprowadzające ustawę o zasadach zarządzania mieniem państwowym</w:t>
            </w:r>
            <w:r w:rsidRPr="008E0E70">
              <w:rPr>
                <w:vertAlign w:val="superscript"/>
              </w:rPr>
              <w:t>1)</w:t>
            </w:r>
          </w:p>
          <w:p w:rsidR="00620BE9" w:rsidRDefault="00620BE9" w:rsidP="00F82855">
            <w:pPr>
              <w:rPr>
                <w:b/>
              </w:rPr>
            </w:pPr>
            <w:r>
              <w:rPr>
                <w:b/>
              </w:rPr>
              <w:t>(Dz. U. poz. 2260)</w:t>
            </w:r>
          </w:p>
        </w:tc>
        <w:tc>
          <w:tcPr>
            <w:tcW w:w="8930" w:type="dxa"/>
            <w:vAlign w:val="center"/>
          </w:tcPr>
          <w:p w:rsidR="00F143F7" w:rsidRDefault="00620BE9" w:rsidP="00F82855">
            <w:pPr>
              <w:jc w:val="both"/>
            </w:pPr>
            <w:r>
              <w:t>W świetle przepisów ustawy  Ministerstwo Skarbu Państwa przechodzi</w:t>
            </w:r>
            <w:r w:rsidR="008B71C6">
              <w:t xml:space="preserve"> </w:t>
            </w:r>
            <w:r>
              <w:t xml:space="preserve">w stan likwidacji z dniem 1 stycznia 2017 r.  Przepisy art. 80 niniejszej ustawy uchylają art. 17 ustawy z dnia 25 listopada 2010 r. o Centralnym Ośrodku Badania Odmian Roślin Uprawnych, na podstawie którego COBORU był obowiązany do uzyskania zgody ministra właściwego do spraw rolnictwa na wydzierżawienie lub ustanowienie ograniczonego prawa rzeczowego na nieruchomościach Centralnego Ośrodka oraz do uzyskania zgody ministra właściwego do spraw rolnictwa i ministra właściwego do spraw Skarbu Państwa na zbycie nieruchomości Centralnego Ośrodka. </w:t>
            </w:r>
          </w:p>
          <w:p w:rsidR="00620BE9" w:rsidRPr="00A64FC3" w:rsidRDefault="00620BE9" w:rsidP="00F82855">
            <w:pPr>
              <w:jc w:val="both"/>
            </w:pPr>
            <w:r w:rsidRPr="00A64FC3">
              <w:t>W ustawie z dnia 19 października 1991 r. o gospodarowaniu nieruchomościami rolnymi Skarbu Państwa wprowadzono następujące zmiany:</w:t>
            </w:r>
          </w:p>
          <w:p w:rsidR="00620BE9" w:rsidRPr="00F670BA" w:rsidRDefault="00620BE9" w:rsidP="00F143F7">
            <w:pPr>
              <w:pStyle w:val="Akapitzlist"/>
              <w:numPr>
                <w:ilvl w:val="0"/>
                <w:numId w:val="2"/>
              </w:numPr>
              <w:ind w:left="435" w:hanging="283"/>
              <w:jc w:val="both"/>
              <w:rPr>
                <w:rFonts w:ascii="Times New Roman" w:hAnsi="Times New Roman"/>
              </w:rPr>
            </w:pPr>
            <w:r w:rsidRPr="00F670BA">
              <w:rPr>
                <w:rFonts w:ascii="Times New Roman" w:hAnsi="Times New Roman"/>
              </w:rPr>
              <w:t>projekty rocznych planów finansowych ANR zatwierdza minister właściwy do spraw rozwoju wsi i przekazuje ministrowi właściwemu do spraw finansów publicznych;</w:t>
            </w:r>
          </w:p>
          <w:p w:rsidR="00620BE9" w:rsidRPr="00F670BA" w:rsidRDefault="00620BE9" w:rsidP="00F143F7">
            <w:pPr>
              <w:pStyle w:val="Akapitzlist"/>
              <w:numPr>
                <w:ilvl w:val="0"/>
                <w:numId w:val="2"/>
              </w:numPr>
              <w:ind w:left="435" w:hanging="283"/>
              <w:jc w:val="both"/>
              <w:rPr>
                <w:rFonts w:ascii="Times New Roman" w:hAnsi="Times New Roman"/>
              </w:rPr>
            </w:pPr>
            <w:r w:rsidRPr="00F670BA">
              <w:rPr>
                <w:rFonts w:ascii="Times New Roman" w:hAnsi="Times New Roman"/>
              </w:rPr>
              <w:t>na wniosek ministra właściwego do spraw budownictwa, planowania i zagospodarowania przestrzennego oraz mieszkalnictwa, organu założycielskiego lub organu nadzorującego Agencja, po uprzednim uzyskaniu zgody ministra właściwego do spraw rozwoju wsi, wskazuje nieruchomości wchodzące w skład Zasobu, które mogą być przeznaczone na wyposażenie lub doposażenie państwowej osoby prawnej lub państwowej jednostki organizacyjnej.</w:t>
            </w:r>
          </w:p>
          <w:p w:rsidR="00620BE9" w:rsidRPr="00A64FC3" w:rsidRDefault="00620BE9" w:rsidP="00F82855">
            <w:pPr>
              <w:jc w:val="both"/>
            </w:pPr>
            <w:r w:rsidRPr="00A64FC3">
              <w:t xml:space="preserve">W ustawie z dnia 21 sierpnia 1997 r. o gospodarce nieruchomościami wprowadzono unormowanie, zgodnie z którym </w:t>
            </w:r>
            <w:r>
              <w:t>ANR</w:t>
            </w:r>
            <w:r w:rsidRPr="00A64FC3">
              <w:t xml:space="preserve"> może wyposażyć fundację lub dokonać na jej rzecz albo na </w:t>
            </w:r>
            <w:r w:rsidRPr="00A64FC3">
              <w:lastRenderedPageBreak/>
              <w:t>rzecz organizacji pożytku publicznego darowizny nieruchomości, w stosunku do której wykonuje prawa właścicielskie Skarbu Państwa, po uprzednim uzyskaniu zgody ministra właściwego do spraw rozwoju wsi.</w:t>
            </w:r>
          </w:p>
          <w:p w:rsidR="00620BE9" w:rsidRDefault="00620BE9" w:rsidP="008B71C6">
            <w:pPr>
              <w:jc w:val="both"/>
            </w:pPr>
            <w:r w:rsidRPr="00A64FC3">
              <w:t xml:space="preserve">W ustawie z dnia 11 kwietnia 2003 r. o kształtowaniu ustroju rolnego wprowadzono unormowanie, zgodnie z którym przepisy ust. 1–3, ust. 4 pkt 2 lit. b–d, ust. 5, art. 3 ust. 10 i 11 oraz art. 3a ust. 3 tej ustawy stosuje się odpowiednio do nabycia udziałów i akcji w spółce prawa handlowego, która jest właścicielem nieruchomości rolnej, z wyłączeniem przypadku, gdy nabywcą udziałów i akcji jest </w:t>
            </w:r>
            <w:r>
              <w:t>Skarb Państwa.</w:t>
            </w:r>
          </w:p>
        </w:tc>
        <w:tc>
          <w:tcPr>
            <w:tcW w:w="1984" w:type="dxa"/>
          </w:tcPr>
          <w:p w:rsidR="00620BE9" w:rsidRDefault="00620BE9" w:rsidP="00F82855">
            <w:r>
              <w:lastRenderedPageBreak/>
              <w:t>30</w:t>
            </w:r>
            <w:r w:rsidRPr="008D6C8A">
              <w:t xml:space="preserve"> grudnia 2016 r.</w:t>
            </w:r>
          </w:p>
        </w:tc>
      </w:tr>
      <w:tr w:rsidR="00620BE9" w:rsidTr="00820E33">
        <w:trPr>
          <w:trHeight w:val="577"/>
        </w:trPr>
        <w:tc>
          <w:tcPr>
            <w:tcW w:w="534" w:type="dxa"/>
          </w:tcPr>
          <w:p w:rsidR="00620BE9" w:rsidRDefault="00620BE9" w:rsidP="00F82855">
            <w:pPr>
              <w:spacing w:line="360" w:lineRule="auto"/>
              <w:ind w:left="120"/>
              <w:rPr>
                <w:b/>
                <w:noProof/>
              </w:rPr>
            </w:pPr>
            <w:r>
              <w:rPr>
                <w:b/>
                <w:noProof/>
              </w:rPr>
              <w:lastRenderedPageBreak/>
              <w:t>8.</w:t>
            </w:r>
          </w:p>
        </w:tc>
        <w:tc>
          <w:tcPr>
            <w:tcW w:w="3118" w:type="dxa"/>
          </w:tcPr>
          <w:p w:rsidR="00620BE9" w:rsidRPr="008E0E70" w:rsidRDefault="00620BE9" w:rsidP="00F82855">
            <w:pPr>
              <w:rPr>
                <w:b/>
                <w:vertAlign w:val="superscript"/>
              </w:rPr>
            </w:pPr>
            <w:r w:rsidRPr="002E1DB7">
              <w:rPr>
                <w:b/>
              </w:rPr>
              <w:t xml:space="preserve">Ustawa z dnia </w:t>
            </w:r>
            <w:r w:rsidR="00B61BF6">
              <w:rPr>
                <w:b/>
              </w:rPr>
              <w:br/>
            </w:r>
            <w:bookmarkStart w:id="0" w:name="_GoBack"/>
            <w:bookmarkEnd w:id="0"/>
            <w:r w:rsidRPr="002E1DB7">
              <w:rPr>
                <w:b/>
              </w:rPr>
              <w:t xml:space="preserve">15 grudnia 2016 r. </w:t>
            </w:r>
            <w:r>
              <w:rPr>
                <w:b/>
              </w:rPr>
              <w:br/>
            </w:r>
            <w:r w:rsidRPr="002E1DB7">
              <w:rPr>
                <w:b/>
              </w:rPr>
              <w:t>o Prokuratorii Generalnej Rzeczypospolitej Polskiej</w:t>
            </w:r>
            <w:r w:rsidRPr="008E0E70">
              <w:rPr>
                <w:vertAlign w:val="superscript"/>
              </w:rPr>
              <w:t>1)</w:t>
            </w:r>
          </w:p>
          <w:p w:rsidR="00620BE9" w:rsidRDefault="00620BE9" w:rsidP="00F82855">
            <w:pPr>
              <w:rPr>
                <w:b/>
              </w:rPr>
            </w:pPr>
            <w:r w:rsidRPr="002E1DB7">
              <w:rPr>
                <w:b/>
              </w:rPr>
              <w:t>(Dz. U. poz. 2260)</w:t>
            </w:r>
          </w:p>
        </w:tc>
        <w:tc>
          <w:tcPr>
            <w:tcW w:w="8930" w:type="dxa"/>
            <w:vAlign w:val="center"/>
          </w:tcPr>
          <w:p w:rsidR="00620BE9" w:rsidRPr="00CA2E35" w:rsidRDefault="00620BE9" w:rsidP="00F82855">
            <w:pPr>
              <w:jc w:val="both"/>
            </w:pPr>
            <w:r w:rsidRPr="00CA2E35">
              <w:t xml:space="preserve">Ustawa utworzyła nową jednostkę, w miejsce dotychczasowej  Prokuratorii Generalnej Skarbu Państwa. Ustawa ta przewiduje konsolidację </w:t>
            </w:r>
            <w:r w:rsidR="008B71C6">
              <w:t xml:space="preserve">i </w:t>
            </w:r>
            <w:r w:rsidRPr="00CA2E35">
              <w:t>usprawnienie reguł wykonywania przez Prokuratorię Generalną zastępstwa Rzeczypospolitej Polskiej, Skarbu Państwa, organów administracji rządowej, państwowych jednostek organizacyjnych nieposiadających osobowości prawnej oraz określonych w ustawie osób prawnych innych niż Skarb Państwa w postępowaniach przed sądami, trybunałami i innymi organami orzekającymi, skutkujące ograniczeniem kosztów oraz podniesieniem jakości ochrony prawnej jak również stworzenie fachowego zaplecza analitycznego i procesowego dla Prezesa Rady Ministrów.</w:t>
            </w:r>
          </w:p>
          <w:p w:rsidR="00620BE9" w:rsidRPr="00CA2E35" w:rsidRDefault="00620BE9" w:rsidP="00F82855">
            <w:pPr>
              <w:jc w:val="both"/>
            </w:pPr>
            <w:r w:rsidRPr="00CA2E35">
              <w:t xml:space="preserve">Zgodnie z ustawą obligatoryjne zastępstwo procesowe będzie dotyczyło Skarbu Państwa reprezentowanego przez organy i podmioty, o których mowa w art. 6 ustawy z dnia 16 grudnia 2016 r. o zasadach zarządzania mieniem państwowym tj. m.in. Ministra Rolnictwa i Rozwoju Wsi, Agencji Nieruchomości Rolnych: </w:t>
            </w:r>
          </w:p>
          <w:p w:rsidR="00620BE9" w:rsidRPr="00CA2E35" w:rsidRDefault="00620BE9" w:rsidP="00F82855">
            <w:pPr>
              <w:jc w:val="both"/>
            </w:pPr>
            <w:r>
              <w:t xml:space="preserve">1) </w:t>
            </w:r>
            <w:r w:rsidRPr="00CA2E35">
              <w:t>w sprawach rozpoznawanych w pierwszej instancji przez sąd okręgowy;</w:t>
            </w:r>
          </w:p>
          <w:p w:rsidR="00620BE9" w:rsidRPr="00CA2E35" w:rsidRDefault="00620BE9" w:rsidP="00F82855">
            <w:pPr>
              <w:jc w:val="both"/>
            </w:pPr>
            <w:r>
              <w:t xml:space="preserve">2) </w:t>
            </w:r>
            <w:r w:rsidRPr="00CA2E35">
              <w:t>w sprawach:</w:t>
            </w:r>
          </w:p>
          <w:p w:rsidR="00620BE9" w:rsidRPr="00CA2E35" w:rsidRDefault="00620BE9" w:rsidP="00F82855">
            <w:pPr>
              <w:jc w:val="both"/>
            </w:pPr>
            <w:r w:rsidRPr="00CA2E35">
              <w:t>a) o uzgodnienie treści księgi wieczystej z rzeczywistym stanem prawnym,</w:t>
            </w:r>
          </w:p>
          <w:p w:rsidR="00620BE9" w:rsidRPr="00CA2E35" w:rsidRDefault="00620BE9" w:rsidP="00F82855">
            <w:pPr>
              <w:jc w:val="both"/>
            </w:pPr>
            <w:r w:rsidRPr="00CA2E35">
              <w:t>b) o stwierdzenie zasiedzenia</w:t>
            </w:r>
          </w:p>
          <w:p w:rsidR="00620BE9" w:rsidRPr="00CA2E35" w:rsidRDefault="00620BE9" w:rsidP="00F82855">
            <w:pPr>
              <w:jc w:val="both"/>
            </w:pPr>
            <w:r w:rsidRPr="00CA2E35">
              <w:t>– jeżeli wartość przedmiotu sprawy przekracza kwotę 1 000 000 zł;</w:t>
            </w:r>
          </w:p>
          <w:p w:rsidR="00620BE9" w:rsidRPr="00CA2E35" w:rsidRDefault="00620BE9" w:rsidP="00F82855">
            <w:pPr>
              <w:jc w:val="both"/>
            </w:pPr>
            <w:r>
              <w:lastRenderedPageBreak/>
              <w:t xml:space="preserve">3) </w:t>
            </w:r>
            <w:r w:rsidRPr="00CA2E35">
              <w:t>w sprawach rozpoznawanych przez sądy polubowne, niezależnie od tego, czy miejsce postępowania przed tym sądem znajduje się na terytorium Rzeczypospolitej Polskiej, czy poza jej granicami lub nie jest oznaczone;</w:t>
            </w:r>
          </w:p>
          <w:p w:rsidR="00620BE9" w:rsidRDefault="00620BE9" w:rsidP="008B71C6">
            <w:pPr>
              <w:jc w:val="both"/>
            </w:pPr>
            <w:r>
              <w:t xml:space="preserve">4) </w:t>
            </w:r>
            <w:r w:rsidRPr="00CA2E35">
              <w:t>w sprawach o uchylenie wyroku sądu polubownego oraz uznanie albo stwierdzenie wykonalności wyroku sądu polubownego lub ugody przed nim zawartej.</w:t>
            </w:r>
          </w:p>
        </w:tc>
        <w:tc>
          <w:tcPr>
            <w:tcW w:w="1984" w:type="dxa"/>
          </w:tcPr>
          <w:p w:rsidR="00620BE9" w:rsidRDefault="00620BE9" w:rsidP="00F82855">
            <w:r w:rsidRPr="002E1DB7">
              <w:lastRenderedPageBreak/>
              <w:t>30 grudnia 2016 r.</w:t>
            </w:r>
          </w:p>
        </w:tc>
      </w:tr>
      <w:tr w:rsidR="00620BE9" w:rsidTr="00820E33">
        <w:trPr>
          <w:trHeight w:val="577"/>
        </w:trPr>
        <w:tc>
          <w:tcPr>
            <w:tcW w:w="534" w:type="dxa"/>
          </w:tcPr>
          <w:p w:rsidR="00620BE9" w:rsidRDefault="00620BE9" w:rsidP="00F82855">
            <w:pPr>
              <w:spacing w:line="360" w:lineRule="auto"/>
              <w:rPr>
                <w:b/>
                <w:noProof/>
              </w:rPr>
            </w:pPr>
            <w:r>
              <w:rPr>
                <w:b/>
                <w:noProof/>
              </w:rPr>
              <w:lastRenderedPageBreak/>
              <w:t>9.</w:t>
            </w:r>
          </w:p>
        </w:tc>
        <w:tc>
          <w:tcPr>
            <w:tcW w:w="3118" w:type="dxa"/>
          </w:tcPr>
          <w:p w:rsidR="00620BE9" w:rsidRDefault="00620BE9" w:rsidP="00F82855">
            <w:pPr>
              <w:rPr>
                <w:b/>
              </w:rPr>
            </w:pPr>
            <w:r w:rsidRPr="005445DE">
              <w:rPr>
                <w:b/>
              </w:rPr>
              <w:t xml:space="preserve">Ustawa z dnia </w:t>
            </w:r>
            <w:r w:rsidR="007E6C3A">
              <w:rPr>
                <w:b/>
              </w:rPr>
              <w:br/>
            </w:r>
            <w:r w:rsidRPr="005445DE">
              <w:rPr>
                <w:b/>
              </w:rPr>
              <w:t xml:space="preserve">15 grudnia 2016 r. o zmianie ustawy o wspieraniu rozwoju obszarów wiejskich </w:t>
            </w:r>
            <w:r>
              <w:rPr>
                <w:b/>
              </w:rPr>
              <w:br/>
            </w:r>
            <w:r w:rsidRPr="005445DE">
              <w:rPr>
                <w:b/>
              </w:rPr>
              <w:t xml:space="preserve">z udziałem środków Europejskiego Funduszu Rolnego na rzecz Rozwoju Obszarów Wiejskich </w:t>
            </w:r>
            <w:r>
              <w:rPr>
                <w:b/>
              </w:rPr>
              <w:br/>
            </w:r>
            <w:r w:rsidRPr="005445DE">
              <w:rPr>
                <w:b/>
              </w:rPr>
              <w:t>w ramach Programu Rozwoju Obszarów Wiejskich na lata 2014–2020 oraz niektórych innych ustaw</w:t>
            </w:r>
          </w:p>
          <w:p w:rsidR="00620BE9" w:rsidRDefault="00620BE9" w:rsidP="007E6C3A">
            <w:pPr>
              <w:rPr>
                <w:b/>
              </w:rPr>
            </w:pPr>
            <w:r w:rsidRPr="005445DE">
              <w:rPr>
                <w:b/>
              </w:rPr>
              <w:t xml:space="preserve">(Dz. U. </w:t>
            </w:r>
            <w:r>
              <w:rPr>
                <w:b/>
              </w:rPr>
              <w:t>z 2017 r. poz. 5</w:t>
            </w:r>
            <w:r w:rsidRPr="005445DE">
              <w:rPr>
                <w:b/>
              </w:rPr>
              <w:t>)</w:t>
            </w:r>
          </w:p>
        </w:tc>
        <w:tc>
          <w:tcPr>
            <w:tcW w:w="8930" w:type="dxa"/>
          </w:tcPr>
          <w:p w:rsidR="00620BE9" w:rsidRDefault="00620BE9" w:rsidP="00F82855">
            <w:pPr>
              <w:jc w:val="both"/>
            </w:pPr>
            <w:r w:rsidRPr="005445DE">
              <w:t>Ustawa m</w:t>
            </w:r>
            <w:r>
              <w:t xml:space="preserve">a na celu zapewnienie szybszego </w:t>
            </w:r>
            <w:r w:rsidRPr="005445DE">
              <w:t xml:space="preserve">uruchomienia i prawidłowego wdrożenia działań </w:t>
            </w:r>
            <w:r w:rsidR="00FA2346">
              <w:br/>
            </w:r>
            <w:r w:rsidRPr="005445DE">
              <w:t>w</w:t>
            </w:r>
            <w:r>
              <w:t xml:space="preserve"> </w:t>
            </w:r>
            <w:r w:rsidRPr="005445DE">
              <w:t>ramach Programu Rozwoju Obszarów Wiejskich na lata</w:t>
            </w:r>
            <w:r>
              <w:t xml:space="preserve"> 2014-</w:t>
            </w:r>
            <w:r w:rsidRPr="005445DE">
              <w:t xml:space="preserve">2020. </w:t>
            </w:r>
            <w:r>
              <w:t xml:space="preserve">Nowelizacja </w:t>
            </w:r>
            <w:r w:rsidRPr="005445DE">
              <w:t xml:space="preserve">ustawy jest konsekwencją zmian wprowadzonych </w:t>
            </w:r>
            <w:r>
              <w:t>w PROW 2014-</w:t>
            </w:r>
            <w:r w:rsidRPr="005445DE">
              <w:t>2020 oraz wynika z dotychczasowych</w:t>
            </w:r>
            <w:r>
              <w:t xml:space="preserve"> </w:t>
            </w:r>
            <w:r w:rsidRPr="005445DE">
              <w:t>doświadczeń z wdrażania Programu. Zmiany mają</w:t>
            </w:r>
            <w:r>
              <w:t xml:space="preserve"> </w:t>
            </w:r>
            <w:r w:rsidRPr="005445DE">
              <w:t>również na c</w:t>
            </w:r>
            <w:r>
              <w:t xml:space="preserve">elu wprowadzenie uproszczeń dla </w:t>
            </w:r>
            <w:r w:rsidRPr="005445DE">
              <w:t>beneficjentów poszczególnych instrumentów wsparcia w</w:t>
            </w:r>
            <w:r>
              <w:t xml:space="preserve"> ramach PROW 2014-</w:t>
            </w:r>
            <w:r w:rsidRPr="005445DE">
              <w:t>2020.</w:t>
            </w:r>
          </w:p>
        </w:tc>
        <w:tc>
          <w:tcPr>
            <w:tcW w:w="1984" w:type="dxa"/>
          </w:tcPr>
          <w:p w:rsidR="00620BE9" w:rsidRDefault="00620BE9" w:rsidP="00F82855">
            <w:r>
              <w:t>3 stycznia 2017 r.</w:t>
            </w:r>
          </w:p>
        </w:tc>
      </w:tr>
    </w:tbl>
    <w:p w:rsidR="007023A3" w:rsidRDefault="007023A3"/>
    <w:sectPr w:rsidR="007023A3" w:rsidSect="00620BE9">
      <w:headerReference w:type="default" r:id="rId9"/>
      <w:pgSz w:w="16838" w:h="11906" w:orient="landscape"/>
      <w:pgMar w:top="171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CB" w:rsidRDefault="00DD09CB" w:rsidP="00620BE9">
      <w:pPr>
        <w:spacing w:after="0" w:line="240" w:lineRule="auto"/>
      </w:pPr>
      <w:r>
        <w:separator/>
      </w:r>
    </w:p>
  </w:endnote>
  <w:endnote w:type="continuationSeparator" w:id="0">
    <w:p w:rsidR="00DD09CB" w:rsidRDefault="00DD09CB" w:rsidP="0062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CB" w:rsidRDefault="00DD09CB" w:rsidP="00620BE9">
      <w:pPr>
        <w:spacing w:after="0" w:line="240" w:lineRule="auto"/>
      </w:pPr>
      <w:r>
        <w:separator/>
      </w:r>
    </w:p>
  </w:footnote>
  <w:footnote w:type="continuationSeparator" w:id="0">
    <w:p w:rsidR="00DD09CB" w:rsidRDefault="00DD09CB" w:rsidP="00620BE9">
      <w:pPr>
        <w:spacing w:after="0" w:line="240" w:lineRule="auto"/>
      </w:pPr>
      <w:r>
        <w:continuationSeparator/>
      </w:r>
    </w:p>
  </w:footnote>
  <w:footnote w:id="1">
    <w:p w:rsidR="00620BE9" w:rsidRPr="00DB52F0" w:rsidRDefault="00620BE9" w:rsidP="00620BE9">
      <w:pPr>
        <w:pStyle w:val="Tekstprzypisudolnego"/>
      </w:pPr>
      <w:r>
        <w:rPr>
          <w:rStyle w:val="Odwoanieprzypisudolnego"/>
        </w:rPr>
        <w:footnoteRef/>
      </w:r>
      <w:r>
        <w:rPr>
          <w:vertAlign w:val="superscript"/>
        </w:rPr>
        <w:t xml:space="preserve">)  </w:t>
      </w:r>
      <w:r>
        <w:t>Szczegółowe dane są zawarte w Informacji dotyczącej</w:t>
      </w:r>
      <w:r w:rsidRPr="00DB52F0">
        <w:t xml:space="preserve"> zasad zarządzania mieniem państwowym</w:t>
      </w:r>
      <w:r>
        <w:t>,</w:t>
      </w:r>
      <w:r w:rsidRPr="00DB52F0">
        <w:t xml:space="preserve"> obowiązujących od dnia 1 stycznia 2017</w:t>
      </w:r>
      <w:r>
        <w:t xml:space="preserve"> </w:t>
      </w:r>
      <w:r w:rsidRPr="00DB52F0">
        <w:t xml:space="preserv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BE9" w:rsidRDefault="009D4BE8" w:rsidP="002641C7">
    <w:pPr>
      <w:pStyle w:val="Nagwek"/>
      <w:jc w:val="center"/>
      <w:rPr>
        <w:rFonts w:ascii="Times New Roman" w:hAnsi="Times New Roman" w:cs="Times New Roman"/>
      </w:rPr>
    </w:pPr>
    <w:r>
      <w:rPr>
        <w:rFonts w:ascii="Times New Roman" w:hAnsi="Times New Roman" w:cs="Times New Roman"/>
      </w:rPr>
      <w:t>Wykaz ustaw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C7945"/>
    <w:multiLevelType w:val="hybridMultilevel"/>
    <w:tmpl w:val="5B648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7C949D5"/>
    <w:multiLevelType w:val="hybridMultilevel"/>
    <w:tmpl w:val="4D2C04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E7"/>
    <w:rsid w:val="002641C7"/>
    <w:rsid w:val="005B0739"/>
    <w:rsid w:val="00607AE7"/>
    <w:rsid w:val="00620BE9"/>
    <w:rsid w:val="007023A3"/>
    <w:rsid w:val="007E6C3A"/>
    <w:rsid w:val="00820E33"/>
    <w:rsid w:val="008B71C6"/>
    <w:rsid w:val="009D4BE8"/>
    <w:rsid w:val="00B13F26"/>
    <w:rsid w:val="00B61BF6"/>
    <w:rsid w:val="00D443C3"/>
    <w:rsid w:val="00DD09CB"/>
    <w:rsid w:val="00EC45E8"/>
    <w:rsid w:val="00F143F7"/>
    <w:rsid w:val="00FA2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BE9"/>
    <w:pPr>
      <w:spacing w:after="200" w:line="276" w:lineRule="auto"/>
      <w:ind w:left="720"/>
      <w:contextualSpacing/>
    </w:pPr>
    <w:rPr>
      <w:rFonts w:ascii="Calibri" w:eastAsia="Times New Roman" w:hAnsi="Calibri" w:cs="Times New Roman"/>
    </w:rPr>
  </w:style>
  <w:style w:type="paragraph" w:styleId="Tekstprzypisudolnego">
    <w:name w:val="footnote text"/>
    <w:aliases w:val="Tekst przypisu Znak Znak Znak Znak Znak Znak,Tekst przypisu Znak Znak Znak Znak Znak1,Podrozdział Znak,Footnote Znak,Podrozdzia3 Znak,-E Fuﬂnotentext Znak,Fuﬂnotentext Ursprung Znak Znak Znak Znak Znak"/>
    <w:basedOn w:val="Normalny"/>
    <w:link w:val="TekstprzypisudolnegoZnak"/>
    <w:semiHidden/>
    <w:rsid w:val="00620B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Znak Znak Znak Znak Znak,Tekst przypisu Znak Znak Znak Znak Znak1 Znak,Podrozdział Znak Znak,Footnote Znak Znak,Podrozdzia3 Znak Znak,-E Fuﬂnotentext Znak Znak"/>
    <w:basedOn w:val="Domylnaczcionkaakapitu"/>
    <w:link w:val="Tekstprzypisudolnego"/>
    <w:semiHidden/>
    <w:rsid w:val="00620B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620BE9"/>
    <w:rPr>
      <w:rFonts w:ascii="Times New Roman" w:hAnsi="Times New Roman" w:cs="Times New Roman"/>
      <w:vertAlign w:val="superscript"/>
    </w:rPr>
  </w:style>
  <w:style w:type="paragraph" w:styleId="Nagwek">
    <w:name w:val="header"/>
    <w:basedOn w:val="Normalny"/>
    <w:link w:val="NagwekZnak"/>
    <w:uiPriority w:val="99"/>
    <w:unhideWhenUsed/>
    <w:rsid w:val="00620B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BE9"/>
  </w:style>
  <w:style w:type="paragraph" w:styleId="Stopka">
    <w:name w:val="footer"/>
    <w:basedOn w:val="Normalny"/>
    <w:link w:val="StopkaZnak"/>
    <w:uiPriority w:val="99"/>
    <w:unhideWhenUsed/>
    <w:rsid w:val="00620B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BE9"/>
    <w:pPr>
      <w:spacing w:after="200" w:line="276" w:lineRule="auto"/>
      <w:ind w:left="720"/>
      <w:contextualSpacing/>
    </w:pPr>
    <w:rPr>
      <w:rFonts w:ascii="Calibri" w:eastAsia="Times New Roman" w:hAnsi="Calibri" w:cs="Times New Roman"/>
    </w:rPr>
  </w:style>
  <w:style w:type="paragraph" w:styleId="Tekstprzypisudolnego">
    <w:name w:val="footnote text"/>
    <w:aliases w:val="Tekst przypisu Znak Znak Znak Znak Znak Znak,Tekst przypisu Znak Znak Znak Znak Znak1,Podrozdział Znak,Footnote Znak,Podrozdzia3 Znak,-E Fuﬂnotentext Znak,Fuﬂnotentext Ursprung Znak Znak Znak Znak Znak"/>
    <w:basedOn w:val="Normalny"/>
    <w:link w:val="TekstprzypisudolnegoZnak"/>
    <w:semiHidden/>
    <w:rsid w:val="00620B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Znak Znak Znak Znak Znak,Tekst przypisu Znak Znak Znak Znak Znak1 Znak,Podrozdział Znak Znak,Footnote Znak Znak,Podrozdzia3 Znak Znak,-E Fuﬂnotentext Znak Znak"/>
    <w:basedOn w:val="Domylnaczcionkaakapitu"/>
    <w:link w:val="Tekstprzypisudolnego"/>
    <w:semiHidden/>
    <w:rsid w:val="00620B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620BE9"/>
    <w:rPr>
      <w:rFonts w:ascii="Times New Roman" w:hAnsi="Times New Roman" w:cs="Times New Roman"/>
      <w:vertAlign w:val="superscript"/>
    </w:rPr>
  </w:style>
  <w:style w:type="paragraph" w:styleId="Nagwek">
    <w:name w:val="header"/>
    <w:basedOn w:val="Normalny"/>
    <w:link w:val="NagwekZnak"/>
    <w:uiPriority w:val="99"/>
    <w:unhideWhenUsed/>
    <w:rsid w:val="00620B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BE9"/>
  </w:style>
  <w:style w:type="paragraph" w:styleId="Stopka">
    <w:name w:val="footer"/>
    <w:basedOn w:val="Normalny"/>
    <w:link w:val="StopkaZnak"/>
    <w:uiPriority w:val="99"/>
    <w:unhideWhenUsed/>
    <w:rsid w:val="00620B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7424-3061-491A-B133-98FD8427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1467</Words>
  <Characters>8802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Kruszewska Urszula</dc:creator>
  <cp:lastModifiedBy>Mamiński Dariusz</cp:lastModifiedBy>
  <cp:revision>3</cp:revision>
  <dcterms:created xsi:type="dcterms:W3CDTF">2017-01-11T08:50:00Z</dcterms:created>
  <dcterms:modified xsi:type="dcterms:W3CDTF">2017-01-11T09:08:00Z</dcterms:modified>
</cp:coreProperties>
</file>